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color w:val="auto"/>
          <w:sz w:val="24"/>
          <w:szCs w:val="24"/>
          <w:lang w:val="en-US" w:eastAsia="zh-CN"/>
        </w:rPr>
        <w:t>R4-2510974</w:t>
      </w:r>
      <w:bookmarkStart w:id="8" w:name="_GoBack"/>
      <w:bookmarkEnd w:id="8"/>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India,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25</w:t>
      </w:r>
      <w:r>
        <w:rPr>
          <w:rFonts w:hint="eastAsia" w:ascii="Arial" w:hAnsi="Arial" w:eastAsia="宋体" w:cs="Arial"/>
          <w:b/>
          <w:color w:val="auto"/>
          <w:sz w:val="24"/>
          <w:szCs w:val="24"/>
          <w:lang w:eastAsia="zh-CN"/>
        </w:rPr>
        <w:t>th – 2</w:t>
      </w:r>
      <w:r>
        <w:rPr>
          <w:rFonts w:hint="eastAsia" w:ascii="Arial" w:hAnsi="Arial" w:cs="Arial"/>
          <w:b/>
          <w:color w:val="auto"/>
          <w:sz w:val="24"/>
          <w:szCs w:val="24"/>
          <w:lang w:val="en-US" w:eastAsia="zh-CN"/>
        </w:rPr>
        <w:t>9th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August</w:t>
      </w:r>
      <w:r>
        <w:rPr>
          <w:rFonts w:hint="eastAsia" w:ascii="Arial" w:hAnsi="Arial" w:eastAsia="宋体" w:cs="Arial"/>
          <w:b/>
          <w:color w:val="auto"/>
          <w:sz w:val="24"/>
          <w:szCs w:val="24"/>
          <w:lang w:eastAsia="zh-CN"/>
        </w:rPr>
        <w:t>,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7.13.4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the objectives related to NR BS MMSE-IRC receiver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Receiver type: MMSE-IRC receiver </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ascii="Times" w:hAnsi="Times" w:eastAsia="Batang"/>
                <w:szCs w:val="24"/>
                <w:lang w:eastAsia="zh-CN"/>
              </w:rPr>
            </w:pPr>
            <w:r>
              <w:rPr>
                <w:lang w:eastAsia="zh-CN"/>
              </w:rPr>
              <w:t>Scenarios: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FDD synchronous deployments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TDD synchronous deployments with aligned UL:DL configurations among cells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Slot-based transmission and aligned SCS among cells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keepLines/>
        <w:widowControl w:val="0"/>
        <w:pBdr>
          <w:top w:val="single" w:color="auto" w:sz="12" w:space="3"/>
        </w:pBdr>
        <w:spacing w:beforeLines="0" w:afterLines="0"/>
        <w:jc w:val="left"/>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sz w:val="20"/>
          <w:szCs w:val="20"/>
          <w:lang w:val="en-US" w:eastAsia="zh-CN"/>
        </w:rPr>
      </w:pPr>
      <w:bookmarkStart w:id="4" w:name="OLE_LINK23"/>
      <w:bookmarkStart w:id="5" w:name="OLE_LINK66"/>
      <w:bookmarkStart w:id="6" w:name="OLE_LINK41"/>
      <w:bookmarkStart w:id="7" w:name="OLE_LINK6"/>
      <w:r>
        <w:rPr>
          <w:rFonts w:hint="eastAsia"/>
          <w:sz w:val="20"/>
          <w:szCs w:val="20"/>
          <w:lang w:val="en-US" w:eastAsia="zh-CN"/>
        </w:rPr>
        <w:t xml:space="preserve">Based on the conclusion in RAN4 #115 meeting </w:t>
      </w:r>
      <w:r>
        <w:rPr>
          <w:rFonts w:hint="eastAsia"/>
          <w:sz w:val="20"/>
          <w:szCs w:val="20"/>
          <w:vertAlign w:val="baseline"/>
          <w:lang w:val="en-US" w:eastAsia="zh-CN"/>
        </w:rPr>
        <w:t>[2]</w:t>
      </w:r>
      <w:r>
        <w:rPr>
          <w:rFonts w:hint="eastAsia"/>
          <w:sz w:val="20"/>
          <w:szCs w:val="20"/>
          <w:lang w:val="en-US" w:eastAsia="zh-CN"/>
        </w:rPr>
        <w:t>, only one open issue is still undecided for BS demodulation performance requirements MMSE-IRC.</w:t>
      </w:r>
    </w:p>
    <w:p>
      <w:pPr>
        <w:rPr>
          <w:rFonts w:hint="default" w:cs="Times New Roman"/>
          <w:kern w:val="0"/>
          <w:sz w:val="20"/>
          <w:szCs w:val="20"/>
          <w:lang w:val="en-US" w:eastAsia="zh-CN" w:bidi="ar-SA"/>
        </w:rPr>
      </w:pPr>
      <w:r>
        <w:rPr>
          <w:rFonts w:hint="eastAsia"/>
          <w:b/>
          <w:bCs/>
          <w:u w:val="single"/>
        </w:rPr>
        <w:t>Applicability for different BS classes and test scenarios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overflowPunct/>
              <w:autoSpaceDE/>
              <w:autoSpaceDN/>
              <w:adjustRightInd/>
              <w:snapToGrid w:val="0"/>
              <w:spacing w:before="60" w:after="60"/>
              <w:ind w:left="284" w:hanging="284"/>
              <w:textAlignment w:val="auto"/>
              <w:rPr>
                <w:sz w:val="20"/>
                <w:szCs w:val="20"/>
              </w:rPr>
            </w:pPr>
            <w:r>
              <w:rPr>
                <w:sz w:val="20"/>
                <w:szCs w:val="20"/>
              </w:rPr>
              <w:t>Online agreement:</w:t>
            </w:r>
          </w:p>
          <w:p>
            <w:pPr>
              <w:numPr>
                <w:ilvl w:val="1"/>
                <w:numId w:val="9"/>
              </w:numPr>
              <w:overflowPunct/>
              <w:autoSpaceDE/>
              <w:autoSpaceDN w:val="0"/>
              <w:adjustRightInd/>
              <w:snapToGrid w:val="0"/>
              <w:spacing w:before="60" w:after="60"/>
              <w:ind w:left="730" w:leftChars="213" w:hanging="283"/>
              <w:textAlignment w:val="auto"/>
              <w:rPr>
                <w:sz w:val="20"/>
                <w:szCs w:val="20"/>
              </w:rPr>
            </w:pPr>
            <w:r>
              <w:rPr>
                <w:sz w:val="20"/>
                <w:szCs w:val="20"/>
              </w:rPr>
              <w:t>Follow the LTE approach – Only specifies that HomNet requirements are not applicable for Local Area BS.</w:t>
            </w:r>
          </w:p>
          <w:p>
            <w:pPr>
              <w:pStyle w:val="33"/>
              <w:numPr>
                <w:ilvl w:val="0"/>
                <w:numId w:val="10"/>
              </w:numPr>
              <w:overflowPunct/>
              <w:autoSpaceDE/>
              <w:autoSpaceDN w:val="0"/>
              <w:adjustRightInd/>
              <w:snapToGrid w:val="0"/>
              <w:spacing w:before="60" w:after="60"/>
              <w:ind w:firstLineChars="0"/>
              <w:textAlignment w:val="auto"/>
              <w:rPr>
                <w:sz w:val="20"/>
                <w:szCs w:val="20"/>
              </w:rPr>
            </w:pPr>
            <w:r>
              <w:rPr>
                <w:sz w:val="20"/>
                <w:szCs w:val="20"/>
              </w:rPr>
              <w:t xml:space="preserve">FFS whether to </w:t>
            </w:r>
            <w:r>
              <w:rPr>
                <w:sz w:val="20"/>
                <w:szCs w:val="20"/>
                <w:lang w:eastAsia="zh-CN"/>
              </w:rPr>
              <w:t>consider</w:t>
            </w:r>
            <w:r>
              <w:rPr>
                <w:sz w:val="20"/>
                <w:szCs w:val="20"/>
              </w:rPr>
              <w:t xml:space="preserve"> additional applicability rule on how the test is performed:</w:t>
            </w:r>
          </w:p>
          <w:p>
            <w:pPr>
              <w:pStyle w:val="33"/>
              <w:numPr>
                <w:ilvl w:val="0"/>
                <w:numId w:val="11"/>
              </w:numPr>
              <w:overflowPunct/>
              <w:autoSpaceDE/>
              <w:autoSpaceDN w:val="0"/>
              <w:adjustRightInd/>
              <w:snapToGrid w:val="0"/>
              <w:spacing w:before="60" w:after="60"/>
              <w:ind w:firstLineChars="0"/>
              <w:textAlignment w:val="auto"/>
              <w:rPr>
                <w:sz w:val="20"/>
                <w:szCs w:val="20"/>
              </w:rPr>
            </w:pPr>
            <w:r>
              <w:rPr>
                <w:sz w:val="20"/>
                <w:szCs w:val="20"/>
              </w:rPr>
              <w:t>Option 1: If a BS declared to support Wide Area BS, Medium Range BS and pass the tests for HomNet, the test for HetNet can be skipped</w:t>
            </w:r>
          </w:p>
          <w:p>
            <w:pPr>
              <w:pStyle w:val="33"/>
              <w:numPr>
                <w:ilvl w:val="0"/>
                <w:numId w:val="11"/>
              </w:numPr>
              <w:overflowPunct/>
              <w:autoSpaceDE/>
              <w:autoSpaceDN w:val="0"/>
              <w:adjustRightInd/>
              <w:snapToGrid w:val="0"/>
              <w:spacing w:before="60" w:after="60"/>
              <w:ind w:firstLineChars="0"/>
              <w:textAlignment w:val="auto"/>
              <w:rPr>
                <w:rFonts w:hint="default"/>
                <w:b/>
                <w:bCs/>
                <w:i/>
                <w:iCs/>
                <w:szCs w:val="21"/>
                <w:vertAlign w:val="baseline"/>
                <w:lang w:val="en-US" w:eastAsia="zh-CN"/>
              </w:rPr>
            </w:pPr>
            <w:r>
              <w:rPr>
                <w:sz w:val="20"/>
                <w:szCs w:val="20"/>
              </w:rPr>
              <w:t>Option 2: Not to consider additional applicability rule on how the test is performed for different test scenarios or BS classes.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sz w:val="20"/>
          <w:szCs w:val="20"/>
          <w:lang w:val="en-US" w:eastAsia="zh-CN"/>
        </w:rPr>
      </w:pPr>
      <w:r>
        <w:rPr>
          <w:rFonts w:hint="eastAsia"/>
          <w:sz w:val="20"/>
          <w:szCs w:val="20"/>
          <w:lang w:val="en-US" w:eastAsia="zh-CN"/>
        </w:rPr>
        <w:t xml:space="preserve">In LTE requirements, RAN4 defined applicability rule to distinguish different BS types based on deployment assumption, which is common understanding that the HomNet requirements are not applicable for local area BS and HetNet requirements are not applicable for wide and medium ares BS. Hence, we believe that this also can be used for NR requirements.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As illustrated before, HomNet requirements is applicable for wide and medium area BS, and HetNet is applicable for local area BS. If a BS declared to support wide and medium area BS, which means that the HetNet requirements are not applicable wide and medium ares BS, why we need to skip the test for HetNet. No HetNet requirements are defined for wide and medium area BS. Hence, we think option 1 needs to be further clarified. We understand that the motivation of introducing more applicable rules to reduce the test effort. However, more rules bring more complexity for RAN4 specification. Hence, we propose to do not define additional applicability rule for homogenous and heterogenous network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not to define additional applicability rule for homogenous and heterogenous network scenarios.</w:t>
      </w:r>
    </w:p>
    <w:p>
      <w:pPr>
        <w:widowControl w:val="0"/>
        <w:spacing w:beforeLines="100" w:afterLines="0" w:line="240" w:lineRule="auto"/>
        <w:jc w:val="both"/>
        <w:rPr>
          <w:rFonts w:hint="eastAsia"/>
          <w:b/>
          <w:bCs/>
          <w:i/>
          <w:iCs/>
          <w:szCs w:val="21"/>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not to define additional applicability rule for homogenous and heterogenous network scenarios.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2"/>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R4-2508618, Way Forward for [115][322] NR_demod_Ph5_Part1_General_BS.</w:t>
      </w:r>
    </w:p>
    <w:p>
      <w:pPr>
        <w:pStyle w:val="33"/>
        <w:numPr>
          <w:ilvl w:val="0"/>
          <w:numId w:val="0"/>
        </w:numPr>
        <w:spacing w:afterLines="0" w:line="259" w:lineRule="auto"/>
        <w:ind w:left="-60" w:leftChars="0"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2EF0B8F"/>
    <w:multiLevelType w:val="multilevel"/>
    <w:tmpl w:val="72EF0B8F"/>
    <w:lvl w:ilvl="0" w:tentative="0">
      <w:start w:val="1"/>
      <w:numFmt w:val="bullet"/>
      <w:lvlText w:val=""/>
      <w:lvlJc w:val="left"/>
      <w:pPr>
        <w:ind w:left="2100" w:hanging="420"/>
      </w:pPr>
      <w:rPr>
        <w:rFonts w:hint="default" w:ascii="Wingdings" w:hAnsi="Wingdings"/>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11"/>
  </w:num>
  <w:num w:numId="8">
    <w:abstractNumId w:val="7"/>
  </w:num>
  <w:num w:numId="9">
    <w:abstractNumId w:val="3"/>
  </w:num>
  <w:num w:numId="10">
    <w:abstractNumId w:val="6"/>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53C"/>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BA45AC"/>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7E298A"/>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231E"/>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19655E"/>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1066B"/>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064FE"/>
    <w:rsid w:val="124240B9"/>
    <w:rsid w:val="124D0988"/>
    <w:rsid w:val="124D1131"/>
    <w:rsid w:val="12680E73"/>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4E267C"/>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5F86F53"/>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EF0B6C"/>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676DC"/>
    <w:rsid w:val="290D4B8B"/>
    <w:rsid w:val="2915217A"/>
    <w:rsid w:val="293320BC"/>
    <w:rsid w:val="29382108"/>
    <w:rsid w:val="29443F47"/>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CEB15C1"/>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CA61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7C20AA"/>
    <w:rsid w:val="30926F91"/>
    <w:rsid w:val="30962F3E"/>
    <w:rsid w:val="309A3A50"/>
    <w:rsid w:val="30AA2585"/>
    <w:rsid w:val="30C16A19"/>
    <w:rsid w:val="30CB5800"/>
    <w:rsid w:val="30D32236"/>
    <w:rsid w:val="30DA45E4"/>
    <w:rsid w:val="30FA7530"/>
    <w:rsid w:val="30FD19EB"/>
    <w:rsid w:val="30FF2795"/>
    <w:rsid w:val="310375CD"/>
    <w:rsid w:val="310953EC"/>
    <w:rsid w:val="310E6387"/>
    <w:rsid w:val="311611B3"/>
    <w:rsid w:val="312D1BAF"/>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AD12D4"/>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8218D"/>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434DB"/>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43380"/>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C3F50"/>
    <w:rsid w:val="404E779F"/>
    <w:rsid w:val="4059090D"/>
    <w:rsid w:val="40603D03"/>
    <w:rsid w:val="4065170A"/>
    <w:rsid w:val="406E5CAB"/>
    <w:rsid w:val="40713C35"/>
    <w:rsid w:val="408376F8"/>
    <w:rsid w:val="40901AD0"/>
    <w:rsid w:val="40957058"/>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3E2A23"/>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B2BD5"/>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33220"/>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36CF3"/>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5FD141B"/>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66BDF"/>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0882"/>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6C74F3"/>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E75043"/>
    <w:rsid w:val="67F45538"/>
    <w:rsid w:val="680239EB"/>
    <w:rsid w:val="68034597"/>
    <w:rsid w:val="68071723"/>
    <w:rsid w:val="680722DA"/>
    <w:rsid w:val="681C64D7"/>
    <w:rsid w:val="682211D1"/>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7F412A"/>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55A2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DE14B3"/>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13</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2025-08-15T11:58:01Z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